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A22" w:rsidRPr="00056024" w:rsidRDefault="00F21A22" w:rsidP="00F21A22">
      <w:pPr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6024">
        <w:rPr>
          <w:rFonts w:ascii="Times New Roman" w:hAnsi="Times New Roman"/>
          <w:sz w:val="28"/>
          <w:szCs w:val="28"/>
        </w:rPr>
        <w:t xml:space="preserve">В </w:t>
      </w:r>
      <w:r w:rsidRPr="00056024">
        <w:rPr>
          <w:rFonts w:ascii="Times New Roman" w:hAnsi="Times New Roman"/>
          <w:sz w:val="28"/>
          <w:szCs w:val="28"/>
          <w:lang w:val="en-US"/>
        </w:rPr>
        <w:t>I</w:t>
      </w:r>
      <w:r w:rsidRPr="00056024">
        <w:rPr>
          <w:rFonts w:ascii="Times New Roman" w:hAnsi="Times New Roman"/>
          <w:sz w:val="28"/>
          <w:szCs w:val="28"/>
        </w:rPr>
        <w:t xml:space="preserve"> квартале 20</w:t>
      </w:r>
      <w:r>
        <w:rPr>
          <w:rFonts w:ascii="Times New Roman" w:hAnsi="Times New Roman"/>
          <w:sz w:val="28"/>
          <w:szCs w:val="28"/>
        </w:rPr>
        <w:t>2</w:t>
      </w:r>
      <w:r w:rsidR="00D4574D" w:rsidRPr="00D4574D">
        <w:rPr>
          <w:rFonts w:ascii="Times New Roman" w:hAnsi="Times New Roman"/>
          <w:sz w:val="28"/>
          <w:szCs w:val="28"/>
        </w:rPr>
        <w:t>3</w:t>
      </w:r>
      <w:r w:rsidRPr="00056024">
        <w:rPr>
          <w:rFonts w:ascii="Times New Roman" w:hAnsi="Times New Roman"/>
          <w:sz w:val="28"/>
          <w:szCs w:val="28"/>
        </w:rPr>
        <w:t xml:space="preserve"> года в Управление поступило всего </w:t>
      </w:r>
      <w:r w:rsidR="00110252">
        <w:rPr>
          <w:rFonts w:ascii="Times New Roman" w:hAnsi="Times New Roman"/>
          <w:b/>
          <w:bCs/>
          <w:sz w:val="28"/>
          <w:szCs w:val="28"/>
        </w:rPr>
        <w:t>161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56024">
        <w:rPr>
          <w:rFonts w:ascii="Times New Roman" w:hAnsi="Times New Roman"/>
          <w:sz w:val="28"/>
          <w:szCs w:val="28"/>
        </w:rPr>
        <w:t>обращени</w:t>
      </w:r>
      <w:r w:rsidR="00110252">
        <w:rPr>
          <w:rFonts w:ascii="Times New Roman" w:hAnsi="Times New Roman"/>
          <w:sz w:val="28"/>
          <w:szCs w:val="28"/>
        </w:rPr>
        <w:t>е</w:t>
      </w:r>
      <w:r w:rsidRPr="00056024">
        <w:rPr>
          <w:rFonts w:ascii="Times New Roman" w:hAnsi="Times New Roman"/>
          <w:sz w:val="28"/>
          <w:szCs w:val="28"/>
        </w:rPr>
        <w:t xml:space="preserve"> граждан</w:t>
      </w:r>
      <w:r w:rsidR="00110252">
        <w:rPr>
          <w:rFonts w:ascii="Times New Roman" w:hAnsi="Times New Roman"/>
          <w:sz w:val="28"/>
          <w:szCs w:val="28"/>
        </w:rPr>
        <w:t>.</w:t>
      </w:r>
    </w:p>
    <w:p w:rsidR="00F21A22" w:rsidRPr="00D4574D" w:rsidRDefault="00F21A22" w:rsidP="00F21A22">
      <w:pPr>
        <w:pStyle w:val="a3"/>
        <w:tabs>
          <w:tab w:val="left" w:pos="426"/>
        </w:tabs>
        <w:spacing w:after="0" w:line="34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highlight w:val="yellow"/>
        </w:rPr>
      </w:pPr>
      <w:r w:rsidRPr="00D4574D">
        <w:rPr>
          <w:rFonts w:ascii="Times New Roman" w:hAnsi="Times New Roman" w:cs="Times New Roman"/>
          <w:color w:val="auto"/>
          <w:sz w:val="28"/>
          <w:szCs w:val="28"/>
        </w:rPr>
        <w:t>Тематика обращений распределилась следующим образом</w:t>
      </w:r>
      <w:r w:rsidRPr="00110252">
        <w:rPr>
          <w:rFonts w:ascii="Times New Roman" w:hAnsi="Times New Roman" w:cs="Times New Roman"/>
          <w:color w:val="auto"/>
          <w:sz w:val="28"/>
          <w:szCs w:val="28"/>
        </w:rPr>
        <w:t xml:space="preserve">: в области энергетического надзора – </w:t>
      </w:r>
      <w:r w:rsidR="00110252" w:rsidRPr="00110252">
        <w:rPr>
          <w:rFonts w:ascii="Times New Roman" w:hAnsi="Times New Roman" w:cs="Times New Roman"/>
          <w:color w:val="auto"/>
          <w:sz w:val="28"/>
          <w:szCs w:val="28"/>
        </w:rPr>
        <w:t>46</w:t>
      </w:r>
      <w:r w:rsidRPr="00110252">
        <w:rPr>
          <w:rFonts w:ascii="Times New Roman" w:hAnsi="Times New Roman" w:cs="Times New Roman"/>
          <w:color w:val="auto"/>
          <w:sz w:val="28"/>
          <w:szCs w:val="28"/>
        </w:rPr>
        <w:t xml:space="preserve">, в области подъемных сооружений – </w:t>
      </w:r>
      <w:r w:rsidR="00110252" w:rsidRPr="00110252">
        <w:rPr>
          <w:rFonts w:ascii="Times New Roman" w:hAnsi="Times New Roman" w:cs="Times New Roman"/>
          <w:color w:val="auto"/>
          <w:sz w:val="28"/>
          <w:szCs w:val="28"/>
        </w:rPr>
        <w:t>42</w:t>
      </w:r>
      <w:r w:rsidRPr="00110252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CD2E52" w:rsidRPr="00110252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110252">
        <w:rPr>
          <w:rFonts w:ascii="Times New Roman" w:hAnsi="Times New Roman" w:cs="Times New Roman"/>
          <w:color w:val="auto"/>
          <w:sz w:val="28"/>
          <w:szCs w:val="28"/>
        </w:rPr>
        <w:t xml:space="preserve">в области деятельности в сфере промышленности – </w:t>
      </w:r>
      <w:r w:rsidR="00110252" w:rsidRPr="00110252">
        <w:rPr>
          <w:rFonts w:ascii="Times New Roman" w:hAnsi="Times New Roman" w:cs="Times New Roman"/>
          <w:color w:val="auto"/>
          <w:sz w:val="28"/>
          <w:szCs w:val="28"/>
        </w:rPr>
        <w:t>13</w:t>
      </w:r>
      <w:r w:rsidRPr="00110252">
        <w:rPr>
          <w:rFonts w:ascii="Times New Roman" w:hAnsi="Times New Roman" w:cs="Times New Roman"/>
          <w:color w:val="auto"/>
          <w:sz w:val="28"/>
          <w:szCs w:val="28"/>
        </w:rPr>
        <w:t xml:space="preserve">, а также в области </w:t>
      </w:r>
      <w:r w:rsidR="00110252" w:rsidRPr="00110252">
        <w:rPr>
          <w:rFonts w:ascii="Times New Roman" w:hAnsi="Times New Roman" w:cs="Times New Roman"/>
          <w:color w:val="auto"/>
          <w:sz w:val="28"/>
          <w:szCs w:val="28"/>
        </w:rPr>
        <w:t>нефтегазового комплекса</w:t>
      </w:r>
      <w:r w:rsidRPr="00110252"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  <w:r w:rsidR="00110252" w:rsidRPr="00110252">
        <w:rPr>
          <w:rFonts w:ascii="Times New Roman" w:hAnsi="Times New Roman" w:cs="Times New Roman"/>
          <w:color w:val="auto"/>
          <w:sz w:val="28"/>
          <w:szCs w:val="28"/>
        </w:rPr>
        <w:t>11</w:t>
      </w:r>
      <w:r w:rsidRPr="0011025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21A22" w:rsidRPr="00D4574D" w:rsidRDefault="00F21A22" w:rsidP="00F21A22">
      <w:pPr>
        <w:pStyle w:val="a3"/>
        <w:tabs>
          <w:tab w:val="left" w:pos="426"/>
        </w:tabs>
        <w:spacing w:after="0" w:line="34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highlight w:val="yellow"/>
        </w:rPr>
      </w:pPr>
      <w:r w:rsidRPr="00D4574D">
        <w:rPr>
          <w:rFonts w:ascii="Times New Roman" w:hAnsi="Times New Roman" w:cs="Times New Roman"/>
          <w:color w:val="auto"/>
          <w:sz w:val="28"/>
          <w:szCs w:val="28"/>
        </w:rPr>
        <w:t xml:space="preserve">Из общего количества поступивших обращений </w:t>
      </w:r>
      <w:r w:rsidRPr="00110252">
        <w:rPr>
          <w:rFonts w:ascii="Times New Roman" w:hAnsi="Times New Roman" w:cs="Times New Roman"/>
          <w:color w:val="auto"/>
          <w:sz w:val="28"/>
          <w:szCs w:val="28"/>
        </w:rPr>
        <w:t xml:space="preserve">граждан </w:t>
      </w:r>
      <w:r w:rsidR="00110252" w:rsidRPr="00110252">
        <w:rPr>
          <w:rFonts w:ascii="Times New Roman" w:hAnsi="Times New Roman" w:cs="Times New Roman"/>
          <w:color w:val="auto"/>
          <w:sz w:val="28"/>
          <w:szCs w:val="28"/>
        </w:rPr>
        <w:t>75</w:t>
      </w:r>
      <w:r w:rsidRPr="00110252">
        <w:rPr>
          <w:rFonts w:ascii="Times New Roman" w:hAnsi="Times New Roman" w:cs="Times New Roman"/>
          <w:color w:val="auto"/>
          <w:sz w:val="28"/>
          <w:szCs w:val="28"/>
        </w:rPr>
        <w:t xml:space="preserve"> закончено</w:t>
      </w:r>
      <w:r w:rsidR="00E62C39" w:rsidRPr="00110252">
        <w:rPr>
          <w:rFonts w:ascii="Times New Roman" w:hAnsi="Times New Roman" w:cs="Times New Roman"/>
          <w:color w:val="auto"/>
          <w:sz w:val="28"/>
          <w:szCs w:val="28"/>
        </w:rPr>
        <w:t xml:space="preserve"> рассмотрением</w:t>
      </w:r>
      <w:r w:rsidRPr="00110252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110252" w:rsidRPr="00110252">
        <w:rPr>
          <w:rFonts w:ascii="Times New Roman" w:hAnsi="Times New Roman" w:cs="Times New Roman"/>
          <w:color w:val="auto"/>
          <w:sz w:val="28"/>
          <w:szCs w:val="28"/>
        </w:rPr>
        <w:t>37</w:t>
      </w:r>
      <w:r w:rsidRPr="00110252">
        <w:rPr>
          <w:rFonts w:ascii="Times New Roman" w:hAnsi="Times New Roman" w:cs="Times New Roman"/>
          <w:color w:val="auto"/>
          <w:sz w:val="28"/>
          <w:szCs w:val="28"/>
        </w:rPr>
        <w:t xml:space="preserve"> обращени</w:t>
      </w:r>
      <w:r w:rsidR="00E62C39" w:rsidRPr="00110252">
        <w:rPr>
          <w:rFonts w:ascii="Times New Roman" w:hAnsi="Times New Roman" w:cs="Times New Roman"/>
          <w:color w:val="auto"/>
          <w:sz w:val="28"/>
          <w:szCs w:val="28"/>
        </w:rPr>
        <w:t>й граждан переадресованы</w:t>
      </w:r>
      <w:r w:rsidRPr="00110252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110252" w:rsidRPr="00110252">
        <w:rPr>
          <w:rFonts w:ascii="Times New Roman" w:hAnsi="Times New Roman" w:cs="Times New Roman"/>
          <w:color w:val="auto"/>
          <w:sz w:val="28"/>
          <w:szCs w:val="28"/>
        </w:rPr>
        <w:t>49</w:t>
      </w:r>
      <w:r w:rsidRPr="00110252">
        <w:rPr>
          <w:rFonts w:ascii="Times New Roman" w:hAnsi="Times New Roman" w:cs="Times New Roman"/>
          <w:color w:val="auto"/>
          <w:sz w:val="28"/>
          <w:szCs w:val="28"/>
        </w:rPr>
        <w:t xml:space="preserve"> обр</w:t>
      </w:r>
      <w:r w:rsidR="00E62C39" w:rsidRPr="00110252">
        <w:rPr>
          <w:rFonts w:ascii="Times New Roman" w:hAnsi="Times New Roman" w:cs="Times New Roman"/>
          <w:color w:val="auto"/>
          <w:sz w:val="28"/>
          <w:szCs w:val="28"/>
        </w:rPr>
        <w:t>ащений находятся на рассмотрении</w:t>
      </w:r>
      <w:r w:rsidRPr="0011025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21A22" w:rsidRPr="00110252" w:rsidRDefault="00F21A22" w:rsidP="00F21A22">
      <w:pPr>
        <w:pStyle w:val="a3"/>
        <w:tabs>
          <w:tab w:val="left" w:pos="426"/>
        </w:tabs>
        <w:spacing w:after="0" w:line="34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4574D">
        <w:rPr>
          <w:rFonts w:ascii="Times New Roman" w:hAnsi="Times New Roman" w:cs="Times New Roman"/>
          <w:color w:val="auto"/>
          <w:sz w:val="28"/>
          <w:szCs w:val="28"/>
        </w:rPr>
        <w:t xml:space="preserve">По обращениям, рассмотренным в </w:t>
      </w:r>
      <w:r w:rsidRPr="00D4574D">
        <w:rPr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  <w:r w:rsidRPr="00D4574D">
        <w:rPr>
          <w:rFonts w:ascii="Times New Roman" w:hAnsi="Times New Roman" w:cs="Times New Roman"/>
          <w:color w:val="auto"/>
          <w:sz w:val="28"/>
          <w:szCs w:val="28"/>
        </w:rPr>
        <w:t xml:space="preserve"> квартале 202</w:t>
      </w:r>
      <w:r w:rsidR="00D4574D" w:rsidRPr="00D4574D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D4574D">
        <w:rPr>
          <w:rFonts w:ascii="Times New Roman" w:hAnsi="Times New Roman" w:cs="Times New Roman"/>
          <w:color w:val="auto"/>
          <w:sz w:val="28"/>
          <w:szCs w:val="28"/>
        </w:rPr>
        <w:t xml:space="preserve"> года приняты </w:t>
      </w:r>
      <w:r w:rsidRPr="00110252">
        <w:rPr>
          <w:rFonts w:ascii="Times New Roman" w:hAnsi="Times New Roman" w:cs="Times New Roman"/>
          <w:color w:val="auto"/>
          <w:sz w:val="28"/>
          <w:szCs w:val="28"/>
        </w:rPr>
        <w:t>следующие решения:</w:t>
      </w:r>
    </w:p>
    <w:p w:rsidR="00F21A22" w:rsidRPr="00110252" w:rsidRDefault="00F21A22" w:rsidP="00F21A22">
      <w:pPr>
        <w:pStyle w:val="a3"/>
        <w:tabs>
          <w:tab w:val="left" w:pos="426"/>
        </w:tabs>
        <w:spacing w:after="0" w:line="34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10252">
        <w:rPr>
          <w:rFonts w:ascii="Times New Roman" w:hAnsi="Times New Roman" w:cs="Times New Roman"/>
          <w:color w:val="auto"/>
          <w:sz w:val="28"/>
          <w:szCs w:val="28"/>
        </w:rPr>
        <w:t xml:space="preserve">- поддержано </w:t>
      </w:r>
      <w:r w:rsidR="00E62C39" w:rsidRPr="00110252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11025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E04D3">
        <w:rPr>
          <w:rFonts w:ascii="Times New Roman" w:hAnsi="Times New Roman" w:cs="Times New Roman"/>
          <w:color w:val="auto"/>
          <w:sz w:val="28"/>
          <w:szCs w:val="28"/>
        </w:rPr>
        <w:t>7</w:t>
      </w:r>
      <w:bookmarkStart w:id="0" w:name="_GoBack"/>
      <w:bookmarkEnd w:id="0"/>
    </w:p>
    <w:p w:rsidR="00F21A22" w:rsidRPr="00110252" w:rsidRDefault="00F21A22" w:rsidP="00F21A22">
      <w:pPr>
        <w:pStyle w:val="a3"/>
        <w:tabs>
          <w:tab w:val="left" w:pos="426"/>
        </w:tabs>
        <w:spacing w:after="0" w:line="34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10252">
        <w:rPr>
          <w:rFonts w:ascii="Times New Roman" w:hAnsi="Times New Roman" w:cs="Times New Roman"/>
          <w:color w:val="auto"/>
          <w:sz w:val="28"/>
          <w:szCs w:val="28"/>
        </w:rPr>
        <w:t xml:space="preserve">- не поддержано </w:t>
      </w:r>
      <w:r w:rsidR="00E62C39" w:rsidRPr="00110252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11025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10252" w:rsidRPr="00110252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E62C39" w:rsidRPr="00110252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F21A22" w:rsidRPr="00110252" w:rsidRDefault="00F21A22" w:rsidP="00F21A22">
      <w:pPr>
        <w:pStyle w:val="a3"/>
        <w:tabs>
          <w:tab w:val="left" w:pos="426"/>
        </w:tabs>
        <w:spacing w:after="0" w:line="34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10252">
        <w:rPr>
          <w:rFonts w:ascii="Times New Roman" w:hAnsi="Times New Roman" w:cs="Times New Roman"/>
          <w:color w:val="auto"/>
          <w:sz w:val="28"/>
          <w:szCs w:val="28"/>
        </w:rPr>
        <w:t xml:space="preserve">- разъяснено </w:t>
      </w:r>
      <w:r w:rsidR="00E62C39" w:rsidRPr="00110252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11025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E04D3">
        <w:rPr>
          <w:rFonts w:ascii="Times New Roman" w:hAnsi="Times New Roman" w:cs="Times New Roman"/>
          <w:color w:val="auto"/>
          <w:sz w:val="28"/>
          <w:szCs w:val="28"/>
        </w:rPr>
        <w:t>65</w:t>
      </w:r>
      <w:r w:rsidR="00E62C39" w:rsidRPr="0011025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21A22" w:rsidRPr="002F7AD9" w:rsidRDefault="00F21A22" w:rsidP="00F21A22">
      <w:pPr>
        <w:pStyle w:val="a3"/>
        <w:tabs>
          <w:tab w:val="left" w:pos="426"/>
        </w:tabs>
        <w:spacing w:after="0" w:line="348" w:lineRule="auto"/>
        <w:ind w:firstLine="709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110252">
        <w:rPr>
          <w:rFonts w:ascii="Times New Roman" w:hAnsi="Times New Roman" w:cs="Times New Roman"/>
          <w:iCs/>
          <w:color w:val="auto"/>
          <w:sz w:val="28"/>
          <w:szCs w:val="28"/>
        </w:rPr>
        <w:t>За отчетный период обращений о недостатках в организации деятельности Управления не поступало.</w:t>
      </w:r>
    </w:p>
    <w:p w:rsidR="00514927" w:rsidRDefault="000E04D3"/>
    <w:sectPr w:rsidR="00514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1A6"/>
    <w:rsid w:val="000E04D3"/>
    <w:rsid w:val="00110252"/>
    <w:rsid w:val="0035195A"/>
    <w:rsid w:val="00402C6E"/>
    <w:rsid w:val="004521A6"/>
    <w:rsid w:val="00827558"/>
    <w:rsid w:val="008C5AF9"/>
    <w:rsid w:val="00A5105B"/>
    <w:rsid w:val="00CD2E52"/>
    <w:rsid w:val="00D4574D"/>
    <w:rsid w:val="00E36C6F"/>
    <w:rsid w:val="00E62C39"/>
    <w:rsid w:val="00F2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12E782-98BE-470A-B861-1BF367A5D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A22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21A22"/>
    <w:pPr>
      <w:spacing w:after="150"/>
    </w:pPr>
    <w:rPr>
      <w:rFonts w:ascii="Tahoma" w:hAnsi="Tahoma" w:cs="Tahom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Анастасия Викторовна</dc:creator>
  <cp:keywords/>
  <dc:description/>
  <cp:lastModifiedBy>Родионова Алена Александровна</cp:lastModifiedBy>
  <cp:revision>4</cp:revision>
  <dcterms:created xsi:type="dcterms:W3CDTF">2023-02-01T10:03:00Z</dcterms:created>
  <dcterms:modified xsi:type="dcterms:W3CDTF">2023-04-27T05:35:00Z</dcterms:modified>
</cp:coreProperties>
</file>